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2C9" w14:textId="77777777" w:rsidR="00E11575" w:rsidRDefault="00797671">
      <w:pPr>
        <w:spacing w:after="0"/>
        <w:ind w:left="62" w:hanging="10"/>
        <w:jc w:val="center"/>
      </w:pPr>
      <w:r>
        <w:rPr>
          <w:rFonts w:ascii="Garamond" w:eastAsia="Garamond" w:hAnsi="Garamond" w:cs="Garamond"/>
          <w:b/>
          <w:color w:val="00539F"/>
          <w:sz w:val="40"/>
          <w:szCs w:val="40"/>
        </w:rPr>
        <w:t>DCMR COBRE</w:t>
      </w:r>
    </w:p>
    <w:p w14:paraId="63203D9D" w14:textId="77777777" w:rsidR="00E11575" w:rsidRDefault="00797671">
      <w:pPr>
        <w:spacing w:after="258"/>
        <w:ind w:left="62" w:right="3" w:hanging="10"/>
        <w:jc w:val="center"/>
      </w:pPr>
      <w:r>
        <w:rPr>
          <w:rFonts w:ascii="Garamond" w:eastAsia="Garamond" w:hAnsi="Garamond" w:cs="Garamond"/>
          <w:b/>
          <w:color w:val="00539F"/>
          <w:sz w:val="40"/>
          <w:szCs w:val="40"/>
        </w:rPr>
        <w:t>The Delaware Center for Musculoskeletal Research</w:t>
      </w:r>
    </w:p>
    <w:p w14:paraId="66E88CA5" w14:textId="77777777" w:rsidR="00E11575" w:rsidRDefault="00797671">
      <w:pPr>
        <w:pStyle w:val="Heading1"/>
      </w:pPr>
      <w:r>
        <w:t>REQUEST FOR DCMR CORE ACCESS VOUCHER</w:t>
      </w:r>
      <w:r>
        <w:rPr>
          <w:sz w:val="32"/>
          <w:szCs w:val="32"/>
        </w:rPr>
        <w:t xml:space="preserve"> </w:t>
      </w:r>
    </w:p>
    <w:p w14:paraId="02688344" w14:textId="77777777" w:rsidR="00E11575" w:rsidRDefault="00797671">
      <w:pPr>
        <w:spacing w:after="142" w:line="253" w:lineRule="auto"/>
        <w:ind w:left="8" w:hanging="10"/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Please fill in all information and email completed application to the DCMR Admin office at </w:t>
      </w:r>
      <w:r>
        <w:rPr>
          <w:rFonts w:ascii="Palatino Linotype" w:eastAsia="Palatino Linotype" w:hAnsi="Palatino Linotype" w:cs="Palatino Linotype"/>
          <w:i/>
          <w:color w:val="0000FF"/>
          <w:sz w:val="24"/>
          <w:szCs w:val="24"/>
          <w:u w:val="single"/>
        </w:rPr>
        <w:t>mboggs@udel.edu</w:t>
      </w: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. Incomplete application will not be reviewed.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Please note: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The Core Access Voucher, supported by NIH P20GM139760, is available to assist biomedical r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esearch investigators to provide funding to access the Multiscale Assessment Research Core of DCMR and other collaborating cores of CBBI and DBI Bioimaging. The voucher will support the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cost of core equipment use and services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for the following:  </w:t>
      </w:r>
    </w:p>
    <w:p w14:paraId="7E807BB3" w14:textId="77777777" w:rsidR="00E11575" w:rsidRDefault="00797671">
      <w:pPr>
        <w:numPr>
          <w:ilvl w:val="0"/>
          <w:numId w:val="1"/>
        </w:numPr>
        <w:spacing w:after="0" w:line="265" w:lineRule="auto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small pil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ot studies</w:t>
      </w:r>
    </w:p>
    <w:p w14:paraId="2216847B" w14:textId="77777777" w:rsidR="00E11575" w:rsidRDefault="00797671">
      <w:pPr>
        <w:numPr>
          <w:ilvl w:val="0"/>
          <w:numId w:val="1"/>
        </w:numPr>
        <w:spacing w:after="0" w:line="265" w:lineRule="auto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obtaining preliminary data for grant applications</w:t>
      </w:r>
    </w:p>
    <w:p w14:paraId="54E5363A" w14:textId="77777777" w:rsidR="00E11575" w:rsidRDefault="00797671">
      <w:pPr>
        <w:numPr>
          <w:ilvl w:val="0"/>
          <w:numId w:val="1"/>
        </w:numPr>
        <w:spacing w:after="0" w:line="265" w:lineRule="auto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testing proof of concept; or</w:t>
      </w:r>
    </w:p>
    <w:p w14:paraId="785E3D36" w14:textId="77777777" w:rsidR="00E11575" w:rsidRDefault="00797671">
      <w:pPr>
        <w:numPr>
          <w:ilvl w:val="0"/>
          <w:numId w:val="1"/>
        </w:numPr>
        <w:spacing w:after="0" w:line="265" w:lineRule="auto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providing additional data for publication</w:t>
      </w:r>
    </w:p>
    <w:p w14:paraId="525F4145" w14:textId="77777777" w:rsidR="00E11575" w:rsidRDefault="00E11575">
      <w:pPr>
        <w:spacing w:after="0" w:line="240" w:lineRule="auto"/>
        <w:rPr>
          <w:rFonts w:ascii="Palatino Linotype" w:eastAsia="Palatino Linotype" w:hAnsi="Palatino Linotype" w:cs="Palatino Linotype"/>
          <w:b/>
          <w:color w:val="2F2F2F"/>
        </w:rPr>
      </w:pPr>
    </w:p>
    <w:p w14:paraId="2B57C943" w14:textId="77777777" w:rsidR="00E11575" w:rsidRDefault="00797671">
      <w:pPr>
        <w:spacing w:after="165"/>
      </w:pPr>
      <w:r>
        <w:rPr>
          <w:rFonts w:ascii="Palatino Linotype" w:eastAsia="Palatino Linotype" w:hAnsi="Palatino Linotype" w:cs="Palatino Linotype"/>
          <w:b/>
          <w:color w:val="2F2F2F"/>
          <w:sz w:val="24"/>
          <w:szCs w:val="24"/>
        </w:rPr>
        <w:t>Funds must be used within six months of voucher award date and may not exceed $4,000.</w:t>
      </w:r>
    </w:p>
    <w:p w14:paraId="61D0D6F8" w14:textId="77777777" w:rsidR="00E11575" w:rsidRDefault="00797671">
      <w:pPr>
        <w:spacing w:after="378" w:line="240" w:lineRule="auto"/>
        <w:ind w:left="4" w:right="352"/>
      </w:pPr>
      <w:r>
        <w:rPr>
          <w:rFonts w:ascii="Book Antiqua" w:eastAsia="Book Antiqua" w:hAnsi="Book Antiqua" w:cs="Book Antiqua"/>
          <w:sz w:val="24"/>
          <w:szCs w:val="24"/>
        </w:rPr>
        <w:t xml:space="preserve">An investigator can only receive one </w:t>
      </w:r>
      <w:r>
        <w:rPr>
          <w:rFonts w:ascii="Book Antiqua" w:eastAsia="Book Antiqua" w:hAnsi="Book Antiqua" w:cs="Book Antiqua"/>
          <w:sz w:val="24"/>
          <w:szCs w:val="24"/>
        </w:rPr>
        <w:t>voucher per funding cycle</w:t>
      </w:r>
      <w:r>
        <w:rPr>
          <w:rFonts w:ascii="Palatino Linotype" w:eastAsia="Palatino Linotype" w:hAnsi="Palatino Linotype" w:cs="Palatino Linotype"/>
          <w:color w:val="2F2F2F"/>
          <w:sz w:val="24"/>
          <w:szCs w:val="24"/>
        </w:rPr>
        <w:t>. A full budget must be provided in the application and costs exceeding $4,000 must be co-funded by the applicant’s institution. Applications will be reviewed on a rolling basis, and awardees will be notified by DCMR staff upon com</w:t>
      </w:r>
      <w:r>
        <w:rPr>
          <w:rFonts w:ascii="Palatino Linotype" w:eastAsia="Palatino Linotype" w:hAnsi="Palatino Linotype" w:cs="Palatino Linotype"/>
          <w:color w:val="2F2F2F"/>
          <w:sz w:val="24"/>
          <w:szCs w:val="24"/>
        </w:rPr>
        <w:t>pletion of review.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23D3DAD0" w14:textId="77777777" w:rsidR="00E11575" w:rsidRDefault="00797671">
      <w:pPr>
        <w:spacing w:after="599" w:line="265" w:lineRule="auto"/>
        <w:ind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DCMR Goal:  </w:t>
      </w:r>
      <w:r>
        <w:rPr>
          <w:rFonts w:ascii="Palatino Linotype" w:eastAsia="Palatino Linotype" w:hAnsi="Palatino Linotype" w:cs="Palatino Linotype"/>
          <w:sz w:val="24"/>
          <w:szCs w:val="24"/>
        </w:rPr>
        <w:t>To accelerate fundamental and preclinical musculoskeletal research and contribute to a comprehensive basic-to-clinical research pipeline that will substantially reduce the burden of musculoskeletal disorders.</w:t>
      </w:r>
    </w:p>
    <w:p w14:paraId="117E1490" w14:textId="77777777" w:rsidR="00E11575" w:rsidRDefault="00797671">
      <w:pPr>
        <w:spacing w:after="599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PROJECT TITLE: </w:t>
      </w:r>
    </w:p>
    <w:p w14:paraId="2CE7983A" w14:textId="77777777" w:rsidR="00E11575" w:rsidRDefault="00797671">
      <w:pPr>
        <w:spacing w:after="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One sentence rationale/relevanc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e to DCMR goals:</w:t>
      </w:r>
      <w:r>
        <w:rPr>
          <w:rFonts w:ascii="Palatino Linotype" w:eastAsia="Palatino Linotype" w:hAnsi="Palatino Linotype" w:cs="Palatino Linotype"/>
          <w:sz w:val="24"/>
          <w:szCs w:val="24"/>
        </w:rPr>
        <w:br/>
      </w:r>
    </w:p>
    <w:p w14:paraId="4BC7C096" w14:textId="77777777" w:rsidR="00E11575" w:rsidRDefault="00E11575">
      <w:pPr>
        <w:spacing w:after="240" w:line="240" w:lineRule="auto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</w:p>
    <w:p w14:paraId="49341A53" w14:textId="77777777" w:rsidR="00E11575" w:rsidRDefault="00797671">
      <w:pPr>
        <w:spacing w:after="7" w:line="253" w:lineRule="auto"/>
        <w:ind w:left="8"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Principal Investigator: </w:t>
      </w:r>
    </w:p>
    <w:p w14:paraId="6EE2C834" w14:textId="77777777" w:rsidR="00E11575" w:rsidRDefault="00797671">
      <w:pPr>
        <w:spacing w:after="0"/>
        <w:ind w:hanging="10"/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Name:  </w:t>
      </w:r>
    </w:p>
    <w:p w14:paraId="0D275BDE" w14:textId="77777777" w:rsidR="00E11575" w:rsidRDefault="00797671">
      <w:pPr>
        <w:spacing w:after="0"/>
        <w:ind w:hanging="10"/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Title:  </w:t>
      </w:r>
    </w:p>
    <w:p w14:paraId="39FC198F" w14:textId="77777777" w:rsidR="00E11575" w:rsidRDefault="00797671">
      <w:pPr>
        <w:spacing w:after="0"/>
        <w:ind w:hanging="10"/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Email:  </w:t>
      </w:r>
    </w:p>
    <w:p w14:paraId="176D487C" w14:textId="77777777" w:rsidR="00E11575" w:rsidRDefault="00797671">
      <w:pPr>
        <w:spacing w:after="298"/>
        <w:ind w:hanging="10"/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Affiliation:  </w:t>
      </w:r>
    </w:p>
    <w:p w14:paraId="5682861A" w14:textId="77777777" w:rsidR="00E11575" w:rsidRDefault="00797671">
      <w:pPr>
        <w:spacing w:after="0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 xml:space="preserve">CORE CENTER 1  </w:t>
      </w:r>
    </w:p>
    <w:p w14:paraId="685F711B" w14:textId="77777777" w:rsidR="00E11575" w:rsidRDefault="00797671">
      <w:pPr>
        <w:spacing w:after="297" w:line="265" w:lineRule="auto"/>
        <w:ind w:right="4" w:hanging="10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Name of Core Director you contacted: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br/>
      </w:r>
    </w:p>
    <w:p w14:paraId="3082F499" w14:textId="77777777" w:rsidR="00E11575" w:rsidRDefault="00797671">
      <w:pPr>
        <w:spacing w:after="297" w:line="265" w:lineRule="auto"/>
        <w:ind w:right="4"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Instrument/services to be accessed:  </w:t>
      </w:r>
    </w:p>
    <w:p w14:paraId="2AEE589E" w14:textId="77777777" w:rsidR="00E11575" w:rsidRDefault="00E11575">
      <w:pPr>
        <w:spacing w:after="0" w:line="265" w:lineRule="auto"/>
        <w:ind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14CA605F" w14:textId="77777777" w:rsidR="00E11575" w:rsidRDefault="00E11575">
      <w:pPr>
        <w:spacing w:after="0" w:line="265" w:lineRule="auto"/>
        <w:ind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2DFCE1E" w14:textId="77777777" w:rsidR="00E11575" w:rsidRDefault="00797671">
      <w:pPr>
        <w:spacing w:after="0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Additional CORE CENTER (as needed):  </w:t>
      </w:r>
    </w:p>
    <w:p w14:paraId="4EF311D1" w14:textId="77777777" w:rsidR="00E11575" w:rsidRDefault="00E11575">
      <w:pPr>
        <w:spacing w:after="98" w:line="265" w:lineRule="auto"/>
        <w:ind w:right="3513"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DFF4C40" w14:textId="77777777" w:rsidR="00E11575" w:rsidRDefault="00797671">
      <w:pPr>
        <w:spacing w:after="98" w:line="265" w:lineRule="auto"/>
        <w:ind w:right="3513"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Name of Core Director you contacted:  </w:t>
      </w:r>
    </w:p>
    <w:p w14:paraId="261D1E79" w14:textId="77777777" w:rsidR="00E11575" w:rsidRDefault="00E11575">
      <w:pPr>
        <w:spacing w:after="98" w:line="265" w:lineRule="auto"/>
        <w:ind w:right="3513"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626DF06" w14:textId="77777777" w:rsidR="00E11575" w:rsidRDefault="00797671">
      <w:pPr>
        <w:spacing w:after="98" w:line="265" w:lineRule="auto"/>
        <w:ind w:right="3513"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Instrument/services to be accessed:  </w:t>
      </w:r>
    </w:p>
    <w:p w14:paraId="5C46C591" w14:textId="77777777" w:rsidR="00E11575" w:rsidRDefault="00E11575">
      <w:pPr>
        <w:spacing w:after="0" w:line="265" w:lineRule="auto"/>
        <w:ind w:hanging="10"/>
        <w:rPr>
          <w:rFonts w:ascii="Book Antiqua" w:eastAsia="Book Antiqua" w:hAnsi="Book Antiqua" w:cs="Book Antiqua"/>
          <w:i/>
        </w:rPr>
      </w:pPr>
    </w:p>
    <w:p w14:paraId="22162418" w14:textId="77777777" w:rsidR="00E11575" w:rsidRDefault="00E11575">
      <w:pPr>
        <w:spacing w:after="0" w:line="265" w:lineRule="auto"/>
        <w:ind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6736D15" w14:textId="77777777" w:rsidR="00E11575" w:rsidRDefault="00797671">
      <w:pPr>
        <w:spacing w:after="2234" w:line="265" w:lineRule="auto"/>
        <w:ind w:hanging="1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PROJECT DESCRIPTION: </w:t>
      </w:r>
    </w:p>
    <w:p w14:paraId="552C9997" w14:textId="77777777" w:rsidR="00E11575" w:rsidRDefault="00797671">
      <w:pPr>
        <w:spacing w:after="0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DETAILED BUDGET -- to be reviewed and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approved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by the core Director(s). </w:t>
      </w:r>
    </w:p>
    <w:p w14:paraId="2B0D2354" w14:textId="77777777" w:rsidR="00E11575" w:rsidRDefault="00797671">
      <w:pPr>
        <w:spacing w:after="0" w:line="264" w:lineRule="auto"/>
        <w:ind w:hanging="14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Submit the full budget for the project and indicate cost per samples/service. Any project exceeding $4,000 must be co-funded by the applicant’s institution. </w:t>
      </w:r>
    </w:p>
    <w:p w14:paraId="32110F74" w14:textId="77777777" w:rsidR="00E11575" w:rsidRDefault="00E11575">
      <w:pPr>
        <w:spacing w:after="0" w:line="264" w:lineRule="auto"/>
        <w:ind w:hanging="14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tbl>
      <w:tblPr>
        <w:tblStyle w:val="a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8"/>
        <w:gridCol w:w="3298"/>
      </w:tblGrid>
      <w:tr w:rsidR="00E11575" w14:paraId="459EAE48" w14:textId="77777777">
        <w:tc>
          <w:tcPr>
            <w:tcW w:w="3298" w:type="dxa"/>
          </w:tcPr>
          <w:p w14:paraId="538AA8FC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Service</w:t>
            </w:r>
          </w:p>
        </w:tc>
        <w:tc>
          <w:tcPr>
            <w:tcW w:w="3298" w:type="dxa"/>
          </w:tcPr>
          <w:p w14:paraId="0981AF35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Rate</w:t>
            </w:r>
          </w:p>
        </w:tc>
        <w:tc>
          <w:tcPr>
            <w:tcW w:w="3298" w:type="dxa"/>
          </w:tcPr>
          <w:p w14:paraId="4F2B27B2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Cost</w:t>
            </w:r>
          </w:p>
        </w:tc>
      </w:tr>
      <w:tr w:rsidR="00E11575" w14:paraId="3BEFB2E4" w14:textId="77777777">
        <w:tc>
          <w:tcPr>
            <w:tcW w:w="3298" w:type="dxa"/>
          </w:tcPr>
          <w:p w14:paraId="7390D918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 xml:space="preserve">Ex. -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microCT</w:t>
            </w:r>
            <w:proofErr w:type="spellEnd"/>
          </w:p>
        </w:tc>
        <w:tc>
          <w:tcPr>
            <w:tcW w:w="3298" w:type="dxa"/>
          </w:tcPr>
          <w:p w14:paraId="16E55EDD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$26/hour for 20 hours</w:t>
            </w:r>
          </w:p>
        </w:tc>
        <w:tc>
          <w:tcPr>
            <w:tcW w:w="3298" w:type="dxa"/>
          </w:tcPr>
          <w:p w14:paraId="7875028C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$520</w:t>
            </w:r>
          </w:p>
        </w:tc>
      </w:tr>
      <w:tr w:rsidR="00E11575" w14:paraId="71468B34" w14:textId="77777777">
        <w:tc>
          <w:tcPr>
            <w:tcW w:w="3298" w:type="dxa"/>
          </w:tcPr>
          <w:p w14:paraId="75AE9C62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Ex. - paraffin embedding</w:t>
            </w:r>
          </w:p>
        </w:tc>
        <w:tc>
          <w:tcPr>
            <w:tcW w:w="3298" w:type="dxa"/>
          </w:tcPr>
          <w:p w14:paraId="46B24759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$3.29/sample for 30 samples</w:t>
            </w:r>
          </w:p>
        </w:tc>
        <w:tc>
          <w:tcPr>
            <w:tcW w:w="3298" w:type="dxa"/>
          </w:tcPr>
          <w:p w14:paraId="406802F7" w14:textId="77777777" w:rsidR="00E11575" w:rsidRDefault="00797671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808080"/>
                <w:sz w:val="24"/>
                <w:szCs w:val="24"/>
              </w:rPr>
              <w:t>$98.70</w:t>
            </w:r>
          </w:p>
        </w:tc>
      </w:tr>
      <w:tr w:rsidR="00E11575" w14:paraId="15CD64E7" w14:textId="77777777">
        <w:tc>
          <w:tcPr>
            <w:tcW w:w="3298" w:type="dxa"/>
          </w:tcPr>
          <w:p w14:paraId="3A57430D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0B4189F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58216FDD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E11575" w14:paraId="6249EAC1" w14:textId="77777777">
        <w:tc>
          <w:tcPr>
            <w:tcW w:w="3298" w:type="dxa"/>
          </w:tcPr>
          <w:p w14:paraId="03A4AFD0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5FF97363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7FCC78F9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E11575" w14:paraId="19CB1E35" w14:textId="77777777">
        <w:tc>
          <w:tcPr>
            <w:tcW w:w="3298" w:type="dxa"/>
          </w:tcPr>
          <w:p w14:paraId="48BFE985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056E7361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794CFE77" w14:textId="77777777" w:rsidR="00E11575" w:rsidRDefault="00E11575">
            <w:pPr>
              <w:spacing w:line="264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</w:tc>
      </w:tr>
    </w:tbl>
    <w:p w14:paraId="20529E37" w14:textId="77777777" w:rsidR="00E11575" w:rsidRDefault="00E11575">
      <w:pPr>
        <w:spacing w:after="0" w:line="264" w:lineRule="auto"/>
        <w:ind w:hanging="14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1C8C57FC" w14:textId="77777777" w:rsidR="00E11575" w:rsidRDefault="00797671">
      <w:pPr>
        <w:spacing w:after="0" w:line="264" w:lineRule="auto"/>
        <w:ind w:hanging="14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Total cost:</w:t>
      </w:r>
    </w:p>
    <w:p w14:paraId="4F181445" w14:textId="77777777" w:rsidR="00E11575" w:rsidRDefault="00E11575">
      <w:pPr>
        <w:spacing w:after="0" w:line="264" w:lineRule="auto"/>
        <w:ind w:hanging="14"/>
      </w:pPr>
    </w:p>
    <w:p w14:paraId="69CE7DF8" w14:textId="77777777" w:rsidR="00E11575" w:rsidRDefault="00797671">
      <w:pPr>
        <w:spacing w:after="0" w:line="264" w:lineRule="auto"/>
        <w:ind w:hanging="14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>Examples of typical budget line items:</w:t>
      </w:r>
    </w:p>
    <w:p w14:paraId="31C38A4E" w14:textId="77777777" w:rsidR="00E11575" w:rsidRDefault="0079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 xml:space="preserve">IHC staining, N slides, $X </w:t>
      </w:r>
    </w:p>
    <w:p w14:paraId="359DABCD" w14:textId="77777777" w:rsidR="00E11575" w:rsidRDefault="0079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 xml:space="preserve">Bruker </w:t>
      </w:r>
      <w:proofErr w:type="spellStart"/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>μCT</w:t>
      </w:r>
      <w:proofErr w:type="spellEnd"/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>, N hours, $X</w:t>
      </w:r>
    </w:p>
    <w:p w14:paraId="7CD4ACAA" w14:textId="77777777" w:rsidR="00E11575" w:rsidRDefault="0079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lastRenderedPageBreak/>
        <w:t>Technical assistance, N hours, $X</w:t>
      </w:r>
    </w:p>
    <w:p w14:paraId="05F0E3C2" w14:textId="77777777" w:rsidR="00E11575" w:rsidRDefault="00797671">
      <w:pPr>
        <w:spacing w:after="0" w:line="264" w:lineRule="auto"/>
        <w:rPr>
          <w:rFonts w:ascii="Palatino Linotype" w:eastAsia="Palatino Linotype" w:hAnsi="Palatino Linotype" w:cs="Palatino Linotype"/>
          <w:color w:val="80808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808080"/>
          <w:sz w:val="24"/>
          <w:szCs w:val="24"/>
        </w:rPr>
        <w:t>Core access vouchers are intended to fund equipment time and services in the supported cores.  It is not intended for the purchase of user-owned equipment, but the budget may include purchases of core-owned equipment or supplies.</w:t>
      </w:r>
    </w:p>
    <w:p w14:paraId="055E2F78" w14:textId="77777777" w:rsidR="00E11575" w:rsidRDefault="00E11575">
      <w:pPr>
        <w:spacing w:after="0" w:line="264" w:lineRule="auto"/>
        <w:ind w:hanging="14"/>
      </w:pPr>
    </w:p>
    <w:p w14:paraId="094FC598" w14:textId="77777777" w:rsidR="00E11575" w:rsidRDefault="00E11575">
      <w:pPr>
        <w:spacing w:after="2234" w:line="265" w:lineRule="auto"/>
        <w:ind w:hanging="10"/>
      </w:pPr>
    </w:p>
    <w:p w14:paraId="545C1822" w14:textId="77777777" w:rsidR="00E11575" w:rsidRDefault="00797671">
      <w:pPr>
        <w:spacing w:after="1262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PLANS FOR PUBLICATIONS /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PROPOSAL SUBMISSION: </w:t>
      </w:r>
    </w:p>
    <w:p w14:paraId="6C16A7DE" w14:textId="77777777" w:rsidR="00E11575" w:rsidRDefault="00797671">
      <w:pPr>
        <w:spacing w:after="6583" w:line="265" w:lineRule="auto"/>
        <w:ind w:hanging="10"/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TIME FRAME: </w:t>
      </w:r>
      <w:r>
        <w:rPr>
          <w:rFonts w:ascii="Book Antiqua" w:eastAsia="Book Antiqua" w:hAnsi="Book Antiqua" w:cs="Book Antiqua"/>
          <w:sz w:val="24"/>
          <w:szCs w:val="24"/>
        </w:rPr>
        <w:t xml:space="preserve">   </w:t>
      </w:r>
    </w:p>
    <w:sectPr w:rsidR="00E11575">
      <w:pgSz w:w="12240" w:h="15840"/>
      <w:pgMar w:top="743" w:right="1260" w:bottom="1019" w:left="10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023C"/>
    <w:multiLevelType w:val="multilevel"/>
    <w:tmpl w:val="CFDCCC4E"/>
    <w:lvl w:ilvl="0">
      <w:start w:val="1"/>
      <w:numFmt w:val="bullet"/>
      <w:lvlText w:val="•"/>
      <w:lvlJc w:val="left"/>
      <w:pPr>
        <w:ind w:left="720" w:hanging="72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Palatino Linotype" w:eastAsia="Palatino Linotype" w:hAnsi="Palatino Linotype" w:cs="Palatino Linotype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4662DE8"/>
    <w:multiLevelType w:val="multilevel"/>
    <w:tmpl w:val="C780F8B4"/>
    <w:lvl w:ilvl="0">
      <w:start w:val="1"/>
      <w:numFmt w:val="bullet"/>
      <w:lvlText w:val="●"/>
      <w:lvlJc w:val="left"/>
      <w:pPr>
        <w:ind w:left="7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num w:numId="1" w16cid:durableId="1183588184">
    <w:abstractNumId w:val="0"/>
  </w:num>
  <w:num w:numId="2" w16cid:durableId="77020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75"/>
    <w:rsid w:val="00797671"/>
    <w:rsid w:val="00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87D1"/>
  <w15:docId w15:val="{E924CE06-5BE8-4632-A75A-5A4BA45B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/>
      <w:ind w:right="37"/>
      <w:jc w:val="center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F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4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4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43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FC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8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TQjTc3RSQD3S+T0cuIEHQ8lcQ==">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V. Steiner</dc:creator>
  <cp:lastModifiedBy>May, Lori</cp:lastModifiedBy>
  <cp:revision>2</cp:revision>
  <dcterms:created xsi:type="dcterms:W3CDTF">2022-05-26T18:23:00Z</dcterms:created>
  <dcterms:modified xsi:type="dcterms:W3CDTF">2022-05-26T18:23:00Z</dcterms:modified>
</cp:coreProperties>
</file>